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Hagfors kommunfullmäktige</w:t>
      </w:r>
    </w:p>
    <w:p>
      <w:pPr>
        <w:pStyle w:val="Heading1"/>
      </w:pPr>
      <w:r>
        <w:t xml:space="preserve">Införa valfrihet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Hagfors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Hagfors äldreomsorg har låg personaltäthet enligt Brå 2024. Möjlighet till valfrihet enligt LOV kan öka kvalitet och brukarnas inflytande, vilket efterfrågas i kommunens brukarundersökningar.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Hagfors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inom hemtjänsten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ta fram kvalitetskrav och ersättningsmodell för externa utförare.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informera alla brukare om valmöjligheter senast vid biståndsbeslut.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reformen efter två år och redovisa för fullmäktige.</w:t>
      </w:r>
    </w:p>
    <w:p>
      <w:pPr>
        <w:spacing w:before="360"/>
      </w:pPr>
    </w:p>
    <w:p>
      <w:r>
        <w:t xml:space="preserve">Hagfors,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Hagfors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2026-07-14T03:14:55.659Z</dcterms:created>
  <dcterms:modified xsi:type="dcterms:W3CDTF">2026-07-14T03:14:55.659Z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